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auto"/>
        <w:rPr>
          <w:rFonts w:ascii="仿宋_GB2312" w:hAnsi="仿宋_GB2312" w:eastAsia="仿宋_GB2312" w:cs="仿宋_GB2312"/>
          <w:sz w:val="36"/>
        </w:rPr>
      </w:pPr>
    </w:p>
    <w:p>
      <w:pPr>
        <w:ind w:firstLine="600"/>
        <w:jc w:val="center"/>
        <w:rPr>
          <w:rFonts w:hint="eastAsia" w:ascii="黑体" w:hAnsi="黑体" w:eastAsia="黑体" w:cs="黑体"/>
          <w:sz w:val="44"/>
          <w:lang w:eastAsia="zh-CN"/>
        </w:rPr>
      </w:pPr>
      <w:r>
        <w:rPr>
          <w:rFonts w:ascii="黑体" w:hAnsi="黑体" w:eastAsia="黑体" w:cs="黑体"/>
          <w:sz w:val="44"/>
        </w:rPr>
        <w:t>2016年度</w:t>
      </w:r>
      <w:r>
        <w:rPr>
          <w:rFonts w:hint="eastAsia" w:ascii="黑体" w:hAnsi="黑体" w:eastAsia="黑体" w:cs="黑体"/>
          <w:sz w:val="44"/>
        </w:rPr>
        <w:t>香河县</w:t>
      </w:r>
      <w:r>
        <w:rPr>
          <w:rFonts w:hint="eastAsia" w:ascii="黑体" w:hAnsi="黑体" w:eastAsia="黑体" w:cs="黑体"/>
          <w:sz w:val="44"/>
          <w:lang w:eastAsia="zh-CN"/>
        </w:rPr>
        <w:t>社会保险事业管理所</w:t>
      </w:r>
    </w:p>
    <w:p>
      <w:pPr>
        <w:ind w:firstLine="600"/>
        <w:jc w:val="center"/>
        <w:rPr>
          <w:rFonts w:ascii="黑体" w:hAnsi="黑体" w:eastAsia="黑体" w:cs="黑体"/>
          <w:sz w:val="44"/>
        </w:rPr>
      </w:pPr>
      <w:r>
        <w:rPr>
          <w:rFonts w:ascii="黑体" w:hAnsi="黑体" w:eastAsia="黑体" w:cs="黑体"/>
          <w:sz w:val="44"/>
        </w:rPr>
        <w:t>部门决算信息公开情况</w:t>
      </w:r>
    </w:p>
    <w:p>
      <w:pPr>
        <w:spacing w:line="520" w:lineRule="auto"/>
        <w:jc w:val="center"/>
        <w:rPr>
          <w:rFonts w:ascii="仿宋_GB2312" w:hAnsi="仿宋_GB2312" w:eastAsia="仿宋_GB2312" w:cs="仿宋_GB2312"/>
          <w:color w:val="FF0000"/>
          <w:sz w:val="36"/>
        </w:rPr>
      </w:pP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按照《预算法》、《河北省财政厅关于印发&lt;河北省预决算公开操作规程实施细则&gt;的通知》（冀财预﹝2016﹞129号）等规定，现将2016年部门决算公开如下：</w:t>
      </w:r>
    </w:p>
    <w:p>
      <w:pPr>
        <w:spacing w:line="520" w:lineRule="auto"/>
        <w:ind w:firstLine="640" w:firstLineChars="200"/>
        <w:jc w:val="left"/>
        <w:rPr>
          <w:rFonts w:ascii="黑体" w:hAnsi="黑体" w:eastAsia="黑体" w:cs="黑体"/>
          <w:sz w:val="32"/>
        </w:rPr>
      </w:pPr>
      <w:r>
        <w:rPr>
          <w:rFonts w:hint="eastAsia" w:ascii="黑体" w:hAnsi="黑体" w:eastAsia="黑体" w:cs="黑体"/>
          <w:sz w:val="32"/>
        </w:rPr>
        <w:t>一、</w:t>
      </w:r>
      <w:r>
        <w:rPr>
          <w:rFonts w:ascii="黑体" w:hAnsi="黑体" w:eastAsia="黑体" w:cs="黑体"/>
          <w:sz w:val="32"/>
        </w:rPr>
        <w:t>部门职责及机构设置情况</w:t>
      </w:r>
    </w:p>
    <w:p>
      <w:pPr>
        <w:ind w:firstLine="640" w:firstLineChars="200"/>
        <w:rPr>
          <w:rFonts w:hint="eastAsia" w:ascii="仿宋_GB2312" w:hAnsi="宋体" w:eastAsia="仿宋_GB2312" w:cs="仿宋_GB2312"/>
          <w:color w:val="484747"/>
          <w:sz w:val="32"/>
          <w:szCs w:val="32"/>
        </w:rPr>
      </w:pPr>
      <w:r>
        <w:rPr>
          <w:rFonts w:hint="eastAsia" w:ascii="仿宋_GB2312" w:hAnsi="宋体" w:eastAsia="仿宋_GB2312" w:cs="仿宋_GB2312"/>
          <w:color w:val="484747"/>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left="420"/>
        <w:rPr>
          <w:rFonts w:ascii="仿宋_GB2312" w:hAnsi="仿宋_GB2312" w:eastAsia="仿宋_GB2312"/>
          <w:sz w:val="30"/>
        </w:rPr>
      </w:pPr>
      <w:r>
        <w:rPr>
          <w:rFonts w:ascii="仿宋_GB2312" w:hAnsi="仿宋_GB2312" w:eastAsia="仿宋_GB2312"/>
          <w:sz w:val="30"/>
        </w:rPr>
        <w:t>１、香河县社会保险事业管理所、香河县城乡居民社会      养老保险管理中心</w:t>
      </w:r>
    </w:p>
    <w:p>
      <w:pPr>
        <w:tabs>
          <w:tab w:val="left" w:pos="319"/>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319" w:firstLine="640"/>
        <w:rPr>
          <w:rFonts w:ascii="仿宋_GB2312" w:hAnsi="仿宋_GB2312" w:eastAsia="仿宋_GB2312"/>
          <w:sz w:val="30"/>
        </w:rPr>
      </w:pPr>
      <w:r>
        <w:rPr>
          <w:rFonts w:ascii="仿宋_GB2312" w:hAnsi="仿宋_GB2312" w:eastAsia="仿宋_GB2312"/>
          <w:sz w:val="30"/>
        </w:rPr>
        <w:t>主要负责社会养老保险、城乡居民养老保险工作，贯彻落实党和国家有关社会养老保险和城乡居民养老保险的各项法律、法规及政策规定；负责全县机关、企事业单位职工养老保险基金的筹集、管理工作和离退休人员养老金的支付工作；负责城乡居民养老保险基金的收缴管理和退休人员养老金的支付工作；编制社保基金的预决算、财务会计、内部统计和审计制度，承担单位、个人的社会养老保险基金和城乡居民养老保险基金的业务查询和办理等工作。</w:t>
      </w:r>
    </w:p>
    <w:p>
      <w:pPr>
        <w:tabs>
          <w:tab w:val="left" w:pos="11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s>
        <w:rPr>
          <w:rFonts w:ascii="仿宋_GB2312" w:hAnsi="仿宋_GB2312" w:eastAsia="仿宋_GB2312"/>
          <w:sz w:val="30"/>
        </w:rPr>
      </w:pPr>
      <w:r>
        <w:rPr>
          <w:rFonts w:ascii="仿宋_GB2312" w:hAnsi="仿宋_GB2312" w:eastAsia="仿宋_GB2312"/>
          <w:sz w:val="30"/>
        </w:rPr>
        <w:t xml:space="preserve">      2、香河县工伤保险管理</w:t>
      </w:r>
      <w:r>
        <w:rPr>
          <w:rFonts w:hint="eastAsia" w:ascii="仿宋_GB2312" w:hAnsi="仿宋_GB2312" w:eastAsia="仿宋_GB2312"/>
          <w:sz w:val="30"/>
          <w:lang w:eastAsia="zh-CN"/>
        </w:rPr>
        <w:t>中心</w:t>
      </w:r>
    </w:p>
    <w:p>
      <w:pPr>
        <w:tabs>
          <w:tab w:val="left" w:pos="317"/>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s>
        <w:ind w:left="317" w:firstLine="640"/>
        <w:rPr>
          <w:rFonts w:hint="eastAsia" w:ascii="仿宋_GB2312" w:hAnsi="宋体" w:eastAsia="仿宋_GB2312" w:cs="仿宋_GB2312"/>
          <w:color w:val="484747"/>
          <w:sz w:val="32"/>
          <w:szCs w:val="32"/>
        </w:rPr>
      </w:pPr>
      <w:r>
        <w:rPr>
          <w:rFonts w:ascii="仿宋_GB2312" w:hAnsi="仿宋_GB2312" w:eastAsia="仿宋_GB2312"/>
          <w:sz w:val="30"/>
        </w:rPr>
        <w:t>主要负责贯彻落实党和国家有关工伤保险的各项法律、法规及政策规定；研究制定我县工伤保险的统筹规定和操作程序；负责工伤保险基金的征缴、管理和发放工作；开展工伤保险的审查、复合等工作。　　　　　</w:t>
      </w:r>
    </w:p>
    <w:p>
      <w:pPr>
        <w:spacing w:line="520" w:lineRule="auto"/>
        <w:ind w:firstLine="560"/>
        <w:jc w:val="left"/>
        <w:rPr>
          <w:rFonts w:ascii="楷体" w:hAnsi="楷体" w:eastAsia="楷体" w:cs="楷体"/>
          <w:sz w:val="32"/>
          <w:szCs w:val="32"/>
        </w:rPr>
      </w:pPr>
      <w:r>
        <w:rPr>
          <w:rFonts w:hint="eastAsia" w:ascii="楷体" w:hAnsi="楷体" w:eastAsia="楷体" w:cs="楷体"/>
          <w:sz w:val="32"/>
          <w:szCs w:val="32"/>
        </w:rPr>
        <w:t>机构设置：</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eastAsia="方正书宋_GBK"/>
                <w:b/>
                <w:bCs/>
              </w:rPr>
            </w:pPr>
            <w:r>
              <w:rPr>
                <w:rFonts w:hint="eastAsia" w:eastAsia="方正书宋_GBK" w:cs="方正书宋_GBK"/>
                <w:b/>
                <w:bCs/>
              </w:rPr>
              <w:t>单位名称</w:t>
            </w:r>
          </w:p>
        </w:tc>
        <w:tc>
          <w:tcPr>
            <w:tcW w:w="1134" w:type="dxa"/>
            <w:vMerge w:val="restart"/>
            <w:vAlign w:val="center"/>
          </w:tcPr>
          <w:p>
            <w:pPr>
              <w:spacing w:line="300" w:lineRule="exact"/>
              <w:jc w:val="center"/>
              <w:rPr>
                <w:rFonts w:eastAsia="方正书宋_GBK"/>
                <w:b/>
                <w:bCs/>
              </w:rPr>
            </w:pPr>
            <w:r>
              <w:rPr>
                <w:rFonts w:hint="eastAsia" w:eastAsia="方正书宋_GBK" w:cs="方正书宋_GBK"/>
                <w:b/>
                <w:bCs/>
              </w:rPr>
              <w:t>单位性质</w:t>
            </w:r>
          </w:p>
        </w:tc>
        <w:tc>
          <w:tcPr>
            <w:tcW w:w="1276" w:type="dxa"/>
            <w:vMerge w:val="restart"/>
            <w:vAlign w:val="center"/>
          </w:tcPr>
          <w:p>
            <w:pPr>
              <w:spacing w:line="300" w:lineRule="exact"/>
              <w:jc w:val="center"/>
              <w:rPr>
                <w:rFonts w:eastAsia="方正书宋_GBK"/>
                <w:b/>
                <w:bCs/>
              </w:rPr>
            </w:pPr>
            <w:r>
              <w:rPr>
                <w:rFonts w:hint="eastAsia" w:eastAsia="方正书宋_GBK" w:cs="方正书宋_GBK"/>
                <w:b/>
                <w:bCs/>
              </w:rPr>
              <w:t>单位规格</w:t>
            </w:r>
          </w:p>
        </w:tc>
        <w:tc>
          <w:tcPr>
            <w:tcW w:w="2902" w:type="dxa"/>
            <w:vMerge w:val="restart"/>
            <w:vAlign w:val="center"/>
          </w:tcPr>
          <w:p>
            <w:pPr>
              <w:spacing w:line="300" w:lineRule="exact"/>
              <w:jc w:val="center"/>
              <w:rPr>
                <w:rFonts w:eastAsia="方正书宋_GBK"/>
                <w:b/>
                <w:bCs/>
              </w:rPr>
            </w:pPr>
            <w:r>
              <w:rPr>
                <w:rFonts w:hint="eastAsia" w:eastAsia="方正书宋_GBK" w:cs="方正书宋_GBK"/>
                <w:b/>
                <w:bCs/>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4443" w:type="dxa"/>
            <w:vMerge w:val="continue"/>
            <w:vAlign w:val="center"/>
          </w:tcPr>
          <w:p>
            <w:pPr>
              <w:spacing w:line="300" w:lineRule="exact"/>
              <w:jc w:val="left"/>
              <w:outlineLvl w:val="0"/>
            </w:pPr>
          </w:p>
        </w:tc>
        <w:tc>
          <w:tcPr>
            <w:tcW w:w="1134" w:type="dxa"/>
            <w:vMerge w:val="continue"/>
            <w:vAlign w:val="center"/>
          </w:tcPr>
          <w:p>
            <w:pPr>
              <w:spacing w:line="300" w:lineRule="exact"/>
              <w:jc w:val="left"/>
              <w:outlineLvl w:val="0"/>
            </w:pPr>
          </w:p>
        </w:tc>
        <w:tc>
          <w:tcPr>
            <w:tcW w:w="1276" w:type="dxa"/>
            <w:vMerge w:val="continue"/>
            <w:vAlign w:val="center"/>
          </w:tcPr>
          <w:p>
            <w:pPr>
              <w:spacing w:line="300" w:lineRule="exact"/>
              <w:jc w:val="left"/>
              <w:outlineLvl w:val="0"/>
            </w:pPr>
          </w:p>
        </w:tc>
        <w:tc>
          <w:tcPr>
            <w:tcW w:w="2902" w:type="dxa"/>
            <w:vMerge w:val="continue"/>
            <w:vAlign w:val="center"/>
          </w:tcPr>
          <w:p>
            <w:pPr>
              <w:spacing w:line="300" w:lineRule="exact"/>
              <w:jc w:val="left"/>
              <w:outlineLvl w:val="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r>
              <w:rPr>
                <w:rFonts w:hint="eastAsia" w:eastAsia="方正书宋_GBK" w:cs="方正书宋_GBK"/>
              </w:rPr>
              <w:t>香河县</w:t>
            </w:r>
            <w:r>
              <w:rPr>
                <w:rFonts w:hint="eastAsia" w:eastAsia="方正书宋_GBK" w:cs="方正书宋_GBK"/>
                <w:lang w:eastAsia="zh-CN"/>
              </w:rPr>
              <w:t>社会保险事业管理所</w:t>
            </w:r>
          </w:p>
        </w:tc>
        <w:tc>
          <w:tcPr>
            <w:tcW w:w="1134" w:type="dxa"/>
            <w:vAlign w:val="center"/>
          </w:tcPr>
          <w:p>
            <w:pPr>
              <w:spacing w:line="300" w:lineRule="exact"/>
              <w:ind w:firstLine="210" w:firstLineChars="100"/>
              <w:jc w:val="left"/>
              <w:rPr>
                <w:rFonts w:hint="eastAsia" w:eastAsia="方正书宋_GBK"/>
                <w:lang w:eastAsia="zh-CN"/>
              </w:rPr>
            </w:pPr>
            <w:r>
              <w:rPr>
                <w:rFonts w:hint="eastAsia" w:eastAsia="方正书宋_GBK"/>
                <w:lang w:eastAsia="zh-CN"/>
              </w:rPr>
              <w:t>事业</w:t>
            </w:r>
          </w:p>
        </w:tc>
        <w:tc>
          <w:tcPr>
            <w:tcW w:w="1276" w:type="dxa"/>
            <w:vAlign w:val="center"/>
          </w:tcPr>
          <w:p>
            <w:pPr>
              <w:spacing w:line="300" w:lineRule="exact"/>
              <w:ind w:firstLine="210" w:firstLineChars="100"/>
              <w:jc w:val="left"/>
              <w:rPr>
                <w:rFonts w:hint="eastAsia" w:eastAsia="方正书宋_GBK"/>
                <w:lang w:eastAsia="zh-CN"/>
              </w:rPr>
            </w:pPr>
            <w:r>
              <w:rPr>
                <w:rFonts w:hint="eastAsia" w:eastAsia="方正书宋_GBK"/>
                <w:lang w:eastAsia="zh-CN"/>
              </w:rPr>
              <w:t>正股级</w:t>
            </w:r>
          </w:p>
        </w:tc>
        <w:tc>
          <w:tcPr>
            <w:tcW w:w="2902" w:type="dxa"/>
            <w:vAlign w:val="center"/>
          </w:tcPr>
          <w:p>
            <w:pPr>
              <w:spacing w:line="300" w:lineRule="exact"/>
              <w:jc w:val="center"/>
              <w:rPr>
                <w:rFonts w:eastAsia="方正书宋_GBK"/>
              </w:rPr>
            </w:pPr>
            <w:r>
              <w:rPr>
                <w:rFonts w:hint="eastAsia" w:eastAsia="方正书宋_GBK" w:cs="方正书宋_GBK"/>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left"/>
              <w:rPr>
                <w:rFonts w:eastAsia="方正书宋_GBK"/>
              </w:rPr>
            </w:pPr>
          </w:p>
        </w:tc>
        <w:tc>
          <w:tcPr>
            <w:tcW w:w="1134" w:type="dxa"/>
            <w:vAlign w:val="center"/>
          </w:tcPr>
          <w:p>
            <w:pPr>
              <w:spacing w:line="300" w:lineRule="exact"/>
              <w:jc w:val="left"/>
              <w:rPr>
                <w:rFonts w:eastAsia="方正书宋_GBK"/>
              </w:rPr>
            </w:pPr>
          </w:p>
        </w:tc>
        <w:tc>
          <w:tcPr>
            <w:tcW w:w="1276" w:type="dxa"/>
            <w:vAlign w:val="center"/>
          </w:tcPr>
          <w:p>
            <w:pPr>
              <w:spacing w:line="300" w:lineRule="exact"/>
              <w:jc w:val="left"/>
              <w:rPr>
                <w:rFonts w:eastAsia="方正书宋_GBK"/>
              </w:rPr>
            </w:pPr>
          </w:p>
        </w:tc>
        <w:tc>
          <w:tcPr>
            <w:tcW w:w="2902" w:type="dxa"/>
            <w:vAlign w:val="center"/>
          </w:tcPr>
          <w:p>
            <w:pPr>
              <w:spacing w:line="300" w:lineRule="exact"/>
              <w:jc w:val="left"/>
              <w:rPr>
                <w:rFonts w:eastAsia="方正书宋_GBK"/>
              </w:rPr>
            </w:pPr>
          </w:p>
        </w:tc>
      </w:tr>
    </w:tbl>
    <w:p>
      <w:pPr>
        <w:spacing w:line="520" w:lineRule="auto"/>
        <w:jc w:val="left"/>
        <w:rPr>
          <w:rFonts w:ascii="楷体" w:hAnsi="楷体" w:eastAsia="楷体" w:cs="楷体"/>
          <w:sz w:val="32"/>
          <w:szCs w:val="32"/>
        </w:rPr>
      </w:pPr>
    </w:p>
    <w:p>
      <w:pPr>
        <w:numPr>
          <w:ilvl w:val="0"/>
          <w:numId w:val="1"/>
        </w:numPr>
        <w:ind w:firstLine="640"/>
        <w:rPr>
          <w:rFonts w:asciiTheme="minorEastAsia" w:hAnsiTheme="minorEastAsia"/>
          <w:sz w:val="32"/>
          <w:szCs w:val="32"/>
        </w:rPr>
      </w:pPr>
      <w:r>
        <w:rPr>
          <w:rFonts w:ascii="黑体" w:hAnsi="黑体" w:eastAsia="黑体" w:cs="黑体"/>
          <w:sz w:val="32"/>
        </w:rPr>
        <w:t>部门决算报表（附表）</w:t>
      </w:r>
    </w:p>
    <w:p>
      <w:pPr>
        <w:ind w:left="640"/>
        <w:rPr>
          <w:rFonts w:ascii="黑体" w:hAnsi="黑体" w:eastAsia="黑体" w:cs="黑体"/>
          <w:sz w:val="32"/>
        </w:rPr>
      </w:pPr>
    </w:p>
    <w:p>
      <w:pPr>
        <w:ind w:firstLine="640"/>
        <w:rPr>
          <w:rFonts w:ascii="黑体" w:hAnsi="黑体" w:eastAsia="黑体" w:cs="黑体"/>
          <w:sz w:val="32"/>
        </w:rPr>
      </w:pPr>
      <w:r>
        <w:rPr>
          <w:rFonts w:ascii="宋体" w:hAnsi="宋体" w:cs="宋体"/>
          <w:sz w:val="32"/>
        </w:rPr>
        <w:t>三、</w:t>
      </w:r>
      <w:r>
        <w:rPr>
          <w:rFonts w:ascii="黑体" w:hAnsi="黑体" w:eastAsia="黑体" w:cs="黑体"/>
          <w:sz w:val="32"/>
        </w:rPr>
        <w:t>2016年度部门决算情况说明</w:t>
      </w:r>
    </w:p>
    <w:p>
      <w:pPr>
        <w:numPr>
          <w:ilvl w:val="0"/>
          <w:numId w:val="2"/>
        </w:numPr>
        <w:spacing w:line="520" w:lineRule="auto"/>
        <w:ind w:firstLine="640"/>
        <w:rPr>
          <w:rFonts w:ascii="楷体" w:hAnsi="楷体" w:eastAsia="楷体" w:cs="楷体"/>
          <w:sz w:val="32"/>
        </w:rPr>
      </w:pPr>
      <w:r>
        <w:rPr>
          <w:rFonts w:hint="eastAsia" w:ascii="楷体" w:hAnsi="楷体" w:eastAsia="楷体" w:cs="楷体"/>
          <w:sz w:val="32"/>
        </w:rPr>
        <w:t>收入支出决算总体情况说明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2016年度一般公共预算财政拨款上年结转结余</w:t>
      </w:r>
      <w:r>
        <w:rPr>
          <w:rFonts w:hint="eastAsia" w:ascii="仿宋_GB2312" w:hAnsi="宋体" w:eastAsia="仿宋_GB2312" w:cs="仿宋_GB2312"/>
          <w:color w:val="484747"/>
          <w:sz w:val="32"/>
          <w:szCs w:val="32"/>
          <w:lang w:val="en-US" w:eastAsia="zh-CN"/>
        </w:rPr>
        <w:t>100.90</w:t>
      </w:r>
      <w:r>
        <w:rPr>
          <w:rFonts w:ascii="仿宋_GB2312" w:hAnsi="宋体" w:eastAsia="仿宋_GB2312" w:cs="仿宋_GB2312"/>
          <w:color w:val="484747"/>
          <w:sz w:val="32"/>
          <w:szCs w:val="32"/>
        </w:rPr>
        <w:t>万元，本年收入</w:t>
      </w:r>
      <w:r>
        <w:rPr>
          <w:rFonts w:hint="eastAsia" w:ascii="仿宋_GB2312" w:hAnsi="宋体" w:eastAsia="仿宋_GB2312" w:cs="仿宋_GB2312"/>
          <w:color w:val="484747"/>
          <w:sz w:val="32"/>
          <w:szCs w:val="32"/>
          <w:lang w:val="en-US" w:eastAsia="zh-CN"/>
        </w:rPr>
        <w:t>30695.22</w:t>
      </w:r>
      <w:r>
        <w:rPr>
          <w:rFonts w:ascii="仿宋_GB2312" w:hAnsi="宋体" w:eastAsia="仿宋_GB2312" w:cs="仿宋_GB2312"/>
          <w:color w:val="484747"/>
          <w:sz w:val="32"/>
          <w:szCs w:val="32"/>
        </w:rPr>
        <w:t>万元，本年支出</w:t>
      </w:r>
      <w:r>
        <w:rPr>
          <w:rFonts w:hint="eastAsia" w:ascii="仿宋_GB2312" w:hAnsi="宋体" w:eastAsia="仿宋_GB2312" w:cs="仿宋_GB2312"/>
          <w:color w:val="484747"/>
          <w:sz w:val="32"/>
          <w:szCs w:val="32"/>
          <w:lang w:val="en-US" w:eastAsia="zh-CN"/>
        </w:rPr>
        <w:t>30705.08</w:t>
      </w:r>
      <w:r>
        <w:rPr>
          <w:rFonts w:ascii="仿宋_GB2312" w:hAnsi="宋体" w:eastAsia="仿宋_GB2312" w:cs="仿宋_GB2312"/>
          <w:color w:val="484747"/>
          <w:sz w:val="32"/>
          <w:szCs w:val="32"/>
        </w:rPr>
        <w:t>万元，年末财政拨款结转和结余</w:t>
      </w:r>
      <w:r>
        <w:rPr>
          <w:rFonts w:hint="eastAsia" w:ascii="仿宋_GB2312" w:hAnsi="宋体" w:eastAsia="仿宋_GB2312" w:cs="仿宋_GB2312"/>
          <w:color w:val="484747"/>
          <w:sz w:val="32"/>
          <w:szCs w:val="32"/>
          <w:lang w:val="en-US" w:eastAsia="zh-CN"/>
        </w:rPr>
        <w:t>91.04</w:t>
      </w:r>
      <w:r>
        <w:rPr>
          <w:rFonts w:ascii="仿宋_GB2312" w:hAnsi="宋体" w:eastAsia="仿宋_GB2312" w:cs="仿宋_GB2312"/>
          <w:color w:val="484747"/>
          <w:sz w:val="32"/>
          <w:szCs w:val="32"/>
        </w:rPr>
        <w:t>万元。</w:t>
      </w:r>
    </w:p>
    <w:p>
      <w:pPr>
        <w:numPr>
          <w:ilvl w:val="0"/>
          <w:numId w:val="2"/>
        </w:numPr>
        <w:spacing w:line="520" w:lineRule="auto"/>
        <w:ind w:firstLine="640"/>
        <w:jc w:val="left"/>
        <w:rPr>
          <w:rFonts w:ascii="楷体" w:hAnsi="楷体" w:eastAsia="楷体" w:cs="楷体"/>
          <w:sz w:val="32"/>
        </w:rPr>
      </w:pPr>
      <w:r>
        <w:rPr>
          <w:rFonts w:hint="eastAsia" w:ascii="楷体" w:hAnsi="楷体" w:eastAsia="楷体" w:cs="楷体"/>
          <w:sz w:val="32"/>
        </w:rPr>
        <w:t>收入决算情况说明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ascii="仿宋_GB2312" w:hAnsi="宋体" w:eastAsia="仿宋_GB2312" w:cs="仿宋_GB2312"/>
          <w:color w:val="484747"/>
          <w:sz w:val="32"/>
          <w:szCs w:val="32"/>
        </w:rPr>
        <w:t>201</w:t>
      </w:r>
      <w:r>
        <w:rPr>
          <w:rFonts w:hint="eastAsia" w:ascii="仿宋_GB2312" w:hAnsi="宋体" w:eastAsia="仿宋_GB2312" w:cs="仿宋_GB2312"/>
          <w:color w:val="484747"/>
          <w:sz w:val="32"/>
          <w:szCs w:val="32"/>
        </w:rPr>
        <w:t>6</w:t>
      </w:r>
      <w:r>
        <w:rPr>
          <w:rFonts w:ascii="仿宋_GB2312" w:hAnsi="宋体" w:eastAsia="仿宋_GB2312" w:cs="仿宋_GB2312"/>
          <w:color w:val="484747"/>
          <w:sz w:val="32"/>
          <w:szCs w:val="32"/>
        </w:rPr>
        <w:t>年全年收入</w:t>
      </w:r>
      <w:r>
        <w:rPr>
          <w:rFonts w:hint="eastAsia" w:ascii="仿宋_GB2312" w:hAnsi="宋体" w:eastAsia="仿宋_GB2312" w:cs="仿宋_GB2312"/>
          <w:color w:val="484747"/>
          <w:sz w:val="32"/>
          <w:szCs w:val="32"/>
          <w:lang w:val="en-US" w:eastAsia="zh-CN"/>
        </w:rPr>
        <w:t>30695.22</w:t>
      </w:r>
      <w:r>
        <w:rPr>
          <w:rFonts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rPr>
        <w:t>。</w:t>
      </w:r>
    </w:p>
    <w:p>
      <w:pPr>
        <w:numPr>
          <w:ilvl w:val="0"/>
          <w:numId w:val="2"/>
        </w:numPr>
        <w:ind w:firstLine="640"/>
        <w:rPr>
          <w:rFonts w:ascii="楷体" w:hAnsi="楷体" w:eastAsia="楷体" w:cs="楷体"/>
          <w:sz w:val="32"/>
        </w:rPr>
      </w:pPr>
      <w:r>
        <w:rPr>
          <w:rFonts w:hint="eastAsia" w:ascii="楷体" w:hAnsi="楷体" w:eastAsia="楷体" w:cs="楷体"/>
          <w:sz w:val="32"/>
        </w:rPr>
        <w:t>支出决算情况说明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ascii="仿宋_GB2312" w:hAnsi="宋体" w:eastAsia="仿宋_GB2312" w:cs="仿宋_GB2312"/>
          <w:color w:val="484747"/>
          <w:sz w:val="32"/>
          <w:szCs w:val="32"/>
        </w:rPr>
        <w:t>201</w:t>
      </w:r>
      <w:r>
        <w:rPr>
          <w:rFonts w:hint="eastAsia" w:ascii="仿宋_GB2312" w:hAnsi="宋体" w:eastAsia="仿宋_GB2312" w:cs="仿宋_GB2312"/>
          <w:color w:val="484747"/>
          <w:sz w:val="32"/>
          <w:szCs w:val="32"/>
        </w:rPr>
        <w:t>6</w:t>
      </w:r>
      <w:r>
        <w:rPr>
          <w:rFonts w:ascii="仿宋_GB2312" w:hAnsi="宋体" w:eastAsia="仿宋_GB2312" w:cs="仿宋_GB2312"/>
          <w:color w:val="484747"/>
          <w:sz w:val="32"/>
          <w:szCs w:val="32"/>
        </w:rPr>
        <w:t>年全年支出</w:t>
      </w:r>
      <w:r>
        <w:rPr>
          <w:rFonts w:hint="eastAsia" w:ascii="仿宋_GB2312" w:hAnsi="宋体" w:eastAsia="仿宋_GB2312" w:cs="仿宋_GB2312"/>
          <w:color w:val="484747"/>
          <w:sz w:val="32"/>
          <w:szCs w:val="32"/>
          <w:lang w:val="en-US" w:eastAsia="zh-CN"/>
        </w:rPr>
        <w:t>30705.08</w:t>
      </w:r>
      <w:r>
        <w:rPr>
          <w:rFonts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rPr>
        <w:t>其中：</w:t>
      </w:r>
      <w:r>
        <w:rPr>
          <w:rFonts w:hint="eastAsia" w:ascii="仿宋_GB2312" w:hAnsi="宋体" w:eastAsia="仿宋_GB2312" w:cs="仿宋_GB2312"/>
          <w:color w:val="484747"/>
          <w:sz w:val="32"/>
          <w:szCs w:val="32"/>
          <w:lang w:eastAsia="zh-CN"/>
        </w:rPr>
        <w:t>教育支出</w:t>
      </w:r>
      <w:r>
        <w:rPr>
          <w:rFonts w:hint="eastAsia" w:ascii="仿宋_GB2312" w:hAnsi="宋体" w:eastAsia="仿宋_GB2312" w:cs="仿宋_GB2312"/>
          <w:color w:val="484747"/>
          <w:sz w:val="32"/>
          <w:szCs w:val="32"/>
          <w:lang w:val="en-US" w:eastAsia="zh-CN"/>
        </w:rPr>
        <w:t>701.62万元，社会保障和就业支出28907.74万元，城乡社区支出1082.56万元，</w:t>
      </w:r>
      <w:r>
        <w:rPr>
          <w:rFonts w:hint="eastAsia" w:ascii="仿宋_GB2312" w:hAnsi="宋体" w:eastAsia="仿宋_GB2312" w:cs="仿宋_GB2312"/>
          <w:color w:val="484747"/>
          <w:sz w:val="32"/>
          <w:szCs w:val="32"/>
        </w:rPr>
        <w:t>住房保障支出</w:t>
      </w:r>
      <w:r>
        <w:rPr>
          <w:rFonts w:hint="eastAsia" w:ascii="仿宋_GB2312" w:hAnsi="宋体" w:eastAsia="仿宋_GB2312" w:cs="仿宋_GB2312"/>
          <w:color w:val="484747"/>
          <w:sz w:val="32"/>
          <w:szCs w:val="32"/>
          <w:lang w:val="en-US" w:eastAsia="zh-CN"/>
        </w:rPr>
        <w:t>13.16</w:t>
      </w:r>
      <w:r>
        <w:rPr>
          <w:rFonts w:hint="eastAsia" w:ascii="仿宋_GB2312" w:hAnsi="宋体" w:eastAsia="仿宋_GB2312" w:cs="仿宋_GB2312"/>
          <w:color w:val="484747"/>
          <w:sz w:val="32"/>
          <w:szCs w:val="32"/>
        </w:rPr>
        <w:t>万元。</w:t>
      </w:r>
    </w:p>
    <w:p>
      <w:pPr>
        <w:spacing w:line="520" w:lineRule="auto"/>
        <w:ind w:firstLine="640"/>
        <w:jc w:val="left"/>
        <w:rPr>
          <w:rFonts w:ascii="楷体" w:hAnsi="楷体" w:eastAsia="楷体" w:cs="楷体"/>
          <w:sz w:val="32"/>
        </w:rPr>
      </w:pPr>
      <w:r>
        <w:rPr>
          <w:rFonts w:hint="eastAsia" w:ascii="楷体" w:hAnsi="楷体" w:eastAsia="楷体" w:cs="楷体"/>
          <w:sz w:val="32"/>
        </w:rPr>
        <w:t>（四）财政拨款收入支出决算总体情况说明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ascii="仿宋_GB2312" w:hAnsi="宋体" w:eastAsia="仿宋_GB2312" w:cs="仿宋_GB2312"/>
          <w:color w:val="484747"/>
          <w:sz w:val="32"/>
          <w:szCs w:val="32"/>
        </w:rPr>
        <w:t>201</w:t>
      </w:r>
      <w:r>
        <w:rPr>
          <w:rFonts w:hint="eastAsia" w:ascii="仿宋_GB2312" w:hAnsi="宋体" w:eastAsia="仿宋_GB2312" w:cs="仿宋_GB2312"/>
          <w:color w:val="484747"/>
          <w:sz w:val="32"/>
          <w:szCs w:val="32"/>
        </w:rPr>
        <w:t>6</w:t>
      </w:r>
      <w:r>
        <w:rPr>
          <w:rFonts w:ascii="仿宋_GB2312" w:hAnsi="宋体" w:eastAsia="仿宋_GB2312" w:cs="仿宋_GB2312"/>
          <w:color w:val="484747"/>
          <w:sz w:val="32"/>
          <w:szCs w:val="32"/>
        </w:rPr>
        <w:t>年全年财政拨款</w:t>
      </w:r>
      <w:r>
        <w:rPr>
          <w:rFonts w:hint="eastAsia" w:ascii="仿宋_GB2312" w:hAnsi="宋体" w:eastAsia="仿宋_GB2312" w:cs="仿宋_GB2312"/>
          <w:color w:val="484747"/>
          <w:sz w:val="32"/>
          <w:szCs w:val="32"/>
          <w:lang w:val="en-US" w:eastAsia="zh-CN"/>
        </w:rPr>
        <w:t>30695.22</w:t>
      </w:r>
      <w:r>
        <w:rPr>
          <w:rFonts w:ascii="仿宋_GB2312" w:hAnsi="宋体" w:eastAsia="仿宋_GB2312" w:cs="仿宋_GB2312"/>
          <w:color w:val="484747"/>
          <w:sz w:val="32"/>
          <w:szCs w:val="32"/>
        </w:rPr>
        <w:t>万元，全年财政拨款支出</w:t>
      </w:r>
      <w:r>
        <w:rPr>
          <w:rFonts w:hint="eastAsia" w:ascii="仿宋_GB2312" w:hAnsi="宋体" w:eastAsia="仿宋_GB2312" w:cs="仿宋_GB2312"/>
          <w:color w:val="484747"/>
          <w:sz w:val="32"/>
          <w:szCs w:val="32"/>
          <w:lang w:val="en-US" w:eastAsia="zh-CN"/>
        </w:rPr>
        <w:t>30705.08</w:t>
      </w:r>
      <w:r>
        <w:rPr>
          <w:rFonts w:ascii="仿宋_GB2312" w:hAnsi="宋体" w:eastAsia="仿宋_GB2312" w:cs="仿宋_GB2312"/>
          <w:color w:val="484747"/>
          <w:sz w:val="32"/>
          <w:szCs w:val="32"/>
        </w:rPr>
        <w:t>万元。</w:t>
      </w:r>
    </w:p>
    <w:p>
      <w:pPr>
        <w:spacing w:line="520" w:lineRule="auto"/>
        <w:ind w:firstLine="640"/>
        <w:jc w:val="left"/>
        <w:rPr>
          <w:rFonts w:ascii="楷体" w:hAnsi="楷体" w:eastAsia="楷体" w:cs="楷体"/>
          <w:sz w:val="32"/>
        </w:rPr>
      </w:pPr>
      <w:r>
        <w:rPr>
          <w:rFonts w:hint="eastAsia" w:ascii="楷体" w:hAnsi="楷体" w:eastAsia="楷体" w:cs="楷体"/>
          <w:sz w:val="32"/>
        </w:rPr>
        <w:t>（五）“三公”经费情况及增减变化原因</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2016年度部门“三公”经费支出</w:t>
      </w:r>
      <w:r>
        <w:rPr>
          <w:rFonts w:hint="eastAsia" w:ascii="仿宋_GB2312" w:hAnsi="宋体" w:eastAsia="仿宋_GB2312" w:cs="仿宋_GB2312"/>
          <w:color w:val="484747"/>
          <w:sz w:val="32"/>
          <w:szCs w:val="32"/>
          <w:lang w:val="en-US" w:eastAsia="zh-CN"/>
        </w:rPr>
        <w:t>0.68</w:t>
      </w:r>
      <w:r>
        <w:rPr>
          <w:rFonts w:hint="eastAsia" w:ascii="仿宋_GB2312" w:hAnsi="宋体" w:eastAsia="仿宋_GB2312" w:cs="仿宋_GB2312"/>
          <w:color w:val="484747"/>
          <w:sz w:val="32"/>
          <w:szCs w:val="32"/>
        </w:rPr>
        <w:t>万元。</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其中：因公出国（境）费0万元。公务用车购置及运行维护费</w:t>
      </w:r>
      <w:r>
        <w:rPr>
          <w:rFonts w:hint="eastAsia" w:ascii="仿宋_GB2312" w:hAnsi="宋体" w:eastAsia="仿宋_GB2312" w:cs="仿宋_GB2312"/>
          <w:color w:val="484747"/>
          <w:sz w:val="32"/>
          <w:szCs w:val="32"/>
          <w:lang w:val="en-US" w:eastAsia="zh-CN"/>
        </w:rPr>
        <w:t>0.68</w:t>
      </w:r>
      <w:r>
        <w:rPr>
          <w:rFonts w:hint="eastAsia" w:ascii="仿宋_GB2312" w:hAnsi="宋体" w:eastAsia="仿宋_GB2312" w:cs="仿宋_GB2312"/>
          <w:color w:val="484747"/>
          <w:sz w:val="32"/>
          <w:szCs w:val="32"/>
        </w:rPr>
        <w:t>万元，年末公务用车保有量1辆，</w:t>
      </w:r>
      <w:r>
        <w:rPr>
          <w:rFonts w:hint="eastAsia" w:ascii="仿宋_GB2312" w:hAnsi="宋体" w:eastAsia="仿宋_GB2312" w:cs="仿宋_GB2312"/>
          <w:color w:val="484747"/>
          <w:sz w:val="32"/>
          <w:szCs w:val="32"/>
          <w:lang w:eastAsia="zh-CN"/>
        </w:rPr>
        <w:t>比</w:t>
      </w:r>
      <w:r>
        <w:rPr>
          <w:rFonts w:hint="eastAsia" w:ascii="仿宋_GB2312" w:hAnsi="宋体" w:eastAsia="仿宋_GB2312" w:cs="仿宋_GB2312"/>
          <w:color w:val="484747"/>
          <w:sz w:val="32"/>
          <w:szCs w:val="32"/>
        </w:rPr>
        <w:t>预算</w:t>
      </w:r>
      <w:r>
        <w:rPr>
          <w:rFonts w:hint="eastAsia" w:ascii="仿宋_GB2312" w:hAnsi="宋体" w:eastAsia="仿宋_GB2312" w:cs="仿宋_GB2312"/>
          <w:color w:val="484747"/>
          <w:sz w:val="32"/>
          <w:szCs w:val="32"/>
          <w:lang w:eastAsia="zh-CN"/>
        </w:rPr>
        <w:t>减少</w:t>
      </w:r>
      <w:r>
        <w:rPr>
          <w:rFonts w:hint="eastAsia" w:ascii="仿宋_GB2312" w:hAnsi="宋体" w:eastAsia="仿宋_GB2312" w:cs="仿宋_GB2312"/>
          <w:color w:val="484747"/>
          <w:sz w:val="32"/>
          <w:szCs w:val="32"/>
          <w:lang w:val="en-US" w:eastAsia="zh-CN"/>
        </w:rPr>
        <w:t>3.21万元</w:t>
      </w:r>
      <w:r>
        <w:rPr>
          <w:rFonts w:hint="eastAsia" w:ascii="仿宋_GB2312" w:hAnsi="宋体" w:eastAsia="仿宋_GB2312" w:cs="仿宋_GB2312"/>
          <w:color w:val="484747"/>
          <w:sz w:val="32"/>
          <w:szCs w:val="32"/>
        </w:rPr>
        <w:t>。公务接待费0万元</w:t>
      </w:r>
      <w:r>
        <w:rPr>
          <w:rFonts w:hint="eastAsia" w:ascii="仿宋_GB2312" w:hAnsi="宋体" w:eastAsia="仿宋_GB2312" w:cs="仿宋_GB2312"/>
          <w:color w:val="484747"/>
          <w:sz w:val="32"/>
          <w:szCs w:val="32"/>
          <w:lang w:eastAsia="zh-CN"/>
        </w:rPr>
        <w:t>。</w:t>
      </w:r>
    </w:p>
    <w:p>
      <w:pPr>
        <w:spacing w:line="520" w:lineRule="auto"/>
        <w:ind w:firstLine="640"/>
        <w:jc w:val="left"/>
        <w:rPr>
          <w:rFonts w:ascii="楷体" w:hAnsi="楷体" w:eastAsia="楷体" w:cs="楷体"/>
          <w:sz w:val="32"/>
        </w:rPr>
      </w:pPr>
      <w:r>
        <w:rPr>
          <w:rFonts w:hint="eastAsia" w:ascii="楷体" w:hAnsi="楷体" w:eastAsia="楷体" w:cs="楷体"/>
          <w:sz w:val="32"/>
        </w:rPr>
        <w:t>（六）机关运行经费支出情况的说明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2016年度部门机关运行经费支出</w:t>
      </w:r>
      <w:r>
        <w:rPr>
          <w:rFonts w:hint="eastAsia" w:ascii="仿宋_GB2312" w:hAnsi="宋体" w:eastAsia="仿宋_GB2312" w:cs="仿宋_GB2312"/>
          <w:color w:val="484747"/>
          <w:sz w:val="32"/>
          <w:szCs w:val="32"/>
          <w:lang w:val="en-US" w:eastAsia="zh-CN"/>
        </w:rPr>
        <w:t>36.70</w:t>
      </w:r>
      <w:r>
        <w:rPr>
          <w:rFonts w:hint="eastAsia"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lang w:eastAsia="zh-CN"/>
        </w:rPr>
        <w:t>，</w:t>
      </w:r>
      <w:r>
        <w:rPr>
          <w:rFonts w:hint="eastAsia" w:ascii="仿宋_GB2312" w:hAnsi="宋体" w:eastAsia="仿宋_GB2312" w:cs="仿宋_GB2312"/>
          <w:color w:val="484747"/>
          <w:sz w:val="32"/>
          <w:szCs w:val="32"/>
        </w:rPr>
        <w:t>其中：办公费</w:t>
      </w:r>
      <w:r>
        <w:rPr>
          <w:rFonts w:hint="eastAsia" w:ascii="仿宋_GB2312" w:hAnsi="宋体" w:eastAsia="仿宋_GB2312" w:cs="仿宋_GB2312"/>
          <w:color w:val="484747"/>
          <w:sz w:val="32"/>
          <w:szCs w:val="32"/>
          <w:lang w:val="en-US" w:eastAsia="zh-CN"/>
        </w:rPr>
        <w:t>8.40</w:t>
      </w:r>
      <w:r>
        <w:rPr>
          <w:rFonts w:hint="eastAsia" w:ascii="仿宋_GB2312" w:hAnsi="宋体" w:eastAsia="仿宋_GB2312" w:cs="仿宋_GB2312"/>
          <w:color w:val="484747"/>
          <w:sz w:val="32"/>
          <w:szCs w:val="32"/>
        </w:rPr>
        <w:t>万元，邮电费</w:t>
      </w:r>
      <w:r>
        <w:rPr>
          <w:rFonts w:hint="eastAsia" w:ascii="仿宋_GB2312" w:hAnsi="宋体" w:eastAsia="仿宋_GB2312" w:cs="仿宋_GB2312"/>
          <w:color w:val="484747"/>
          <w:sz w:val="32"/>
          <w:szCs w:val="32"/>
          <w:lang w:val="en-US" w:eastAsia="zh-CN"/>
        </w:rPr>
        <w:t>0.80</w:t>
      </w:r>
      <w:r>
        <w:rPr>
          <w:rFonts w:hint="eastAsia" w:ascii="仿宋_GB2312" w:hAnsi="宋体" w:eastAsia="仿宋_GB2312" w:cs="仿宋_GB2312"/>
          <w:color w:val="484747"/>
          <w:sz w:val="32"/>
          <w:szCs w:val="32"/>
        </w:rPr>
        <w:t>万元，印刷费</w:t>
      </w:r>
      <w:r>
        <w:rPr>
          <w:rFonts w:hint="eastAsia" w:ascii="仿宋_GB2312" w:hAnsi="宋体" w:eastAsia="仿宋_GB2312" w:cs="仿宋_GB2312"/>
          <w:color w:val="484747"/>
          <w:sz w:val="32"/>
          <w:szCs w:val="32"/>
          <w:lang w:val="en-US" w:eastAsia="zh-CN"/>
        </w:rPr>
        <w:t>9.78</w:t>
      </w:r>
      <w:r>
        <w:rPr>
          <w:rFonts w:hint="eastAsia"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lang w:eastAsia="zh-CN"/>
        </w:rPr>
        <w:t>手续费</w:t>
      </w:r>
      <w:r>
        <w:rPr>
          <w:rFonts w:hint="eastAsia" w:ascii="仿宋_GB2312" w:hAnsi="宋体" w:eastAsia="仿宋_GB2312" w:cs="仿宋_GB2312"/>
          <w:color w:val="484747"/>
          <w:sz w:val="32"/>
          <w:szCs w:val="32"/>
          <w:lang w:val="en-US" w:eastAsia="zh-CN"/>
        </w:rPr>
        <w:t>1.06万元，差旅费0.08万元，</w:t>
      </w:r>
      <w:r>
        <w:rPr>
          <w:rFonts w:hint="eastAsia" w:ascii="仿宋_GB2312" w:hAnsi="宋体" w:eastAsia="仿宋_GB2312" w:cs="仿宋_GB2312"/>
          <w:color w:val="484747"/>
          <w:sz w:val="32"/>
          <w:szCs w:val="32"/>
        </w:rPr>
        <w:t>公务车运行维护费</w:t>
      </w:r>
      <w:r>
        <w:rPr>
          <w:rFonts w:hint="eastAsia" w:ascii="仿宋_GB2312" w:hAnsi="宋体" w:eastAsia="仿宋_GB2312" w:cs="仿宋_GB2312"/>
          <w:color w:val="484747"/>
          <w:sz w:val="32"/>
          <w:szCs w:val="32"/>
          <w:lang w:val="en-US" w:eastAsia="zh-CN"/>
        </w:rPr>
        <w:t>0.68</w:t>
      </w:r>
      <w:r>
        <w:rPr>
          <w:rFonts w:hint="eastAsia" w:ascii="仿宋_GB2312" w:hAnsi="宋体" w:eastAsia="仿宋_GB2312" w:cs="仿宋_GB2312"/>
          <w:color w:val="484747"/>
          <w:sz w:val="32"/>
          <w:szCs w:val="32"/>
        </w:rPr>
        <w:t>万元</w:t>
      </w:r>
      <w:r>
        <w:rPr>
          <w:rFonts w:hint="eastAsia" w:ascii="仿宋_GB2312" w:hAnsi="宋体" w:eastAsia="仿宋_GB2312" w:cs="仿宋_GB2312"/>
          <w:color w:val="484747"/>
          <w:sz w:val="32"/>
          <w:szCs w:val="32"/>
          <w:lang w:eastAsia="zh-CN"/>
        </w:rPr>
        <w:t>，设备购置</w:t>
      </w:r>
      <w:r>
        <w:rPr>
          <w:rFonts w:hint="eastAsia" w:ascii="仿宋_GB2312" w:hAnsi="宋体" w:eastAsia="仿宋_GB2312" w:cs="仿宋_GB2312"/>
          <w:color w:val="484747"/>
          <w:sz w:val="32"/>
          <w:szCs w:val="32"/>
          <w:lang w:val="en-US" w:eastAsia="zh-CN"/>
        </w:rPr>
        <w:t>15.90万元</w:t>
      </w:r>
      <w:r>
        <w:rPr>
          <w:rFonts w:hint="eastAsia" w:ascii="仿宋_GB2312" w:hAnsi="宋体" w:eastAsia="仿宋_GB2312" w:cs="仿宋_GB2312"/>
          <w:color w:val="484747"/>
          <w:sz w:val="32"/>
          <w:szCs w:val="32"/>
        </w:rPr>
        <w:t>。比2015年度有所减少，原因根据上级文件精神压缩办公经费。</w:t>
      </w:r>
    </w:p>
    <w:p>
      <w:pPr>
        <w:spacing w:line="520" w:lineRule="auto"/>
        <w:ind w:firstLine="640"/>
        <w:jc w:val="left"/>
        <w:rPr>
          <w:rFonts w:ascii="楷体" w:hAnsi="楷体" w:eastAsia="楷体" w:cs="楷体"/>
          <w:sz w:val="32"/>
        </w:rPr>
      </w:pPr>
      <w:r>
        <w:rPr>
          <w:rFonts w:hint="eastAsia" w:ascii="楷体" w:hAnsi="楷体" w:eastAsia="楷体" w:cs="楷体"/>
          <w:sz w:val="32"/>
        </w:rPr>
        <w:t>（七）绩效预算信息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600" w:firstLineChars="200"/>
        <w:rPr>
          <w:rFonts w:ascii="仿宋_GB2312" w:hAnsi="仿宋" w:eastAsia="仿宋_GB2312" w:cs="仿宋_GB2312"/>
          <w:color w:val="484747"/>
          <w:kern w:val="2"/>
          <w:sz w:val="32"/>
          <w:szCs w:val="32"/>
        </w:rPr>
      </w:pPr>
      <w:r>
        <w:rPr>
          <w:rFonts w:hint="eastAsia" w:ascii="仿宋_GB2312" w:hAnsi="仿宋_GB2312" w:eastAsia="仿宋_GB2312"/>
          <w:sz w:val="30"/>
          <w:lang w:eastAsia="zh-CN"/>
        </w:rPr>
        <w:t>总体绩效目标：</w:t>
      </w:r>
      <w:r>
        <w:rPr>
          <w:rFonts w:ascii="仿宋_GB2312" w:hAnsi="仿宋_GB2312" w:eastAsia="仿宋_GB2312"/>
          <w:sz w:val="30"/>
        </w:rPr>
        <w:t>在保障香河县社会保险事业管理所基本业务正常运行并保持各险种平稳快速增长的前提下，主要进行机关、企业、工伤、农保的业务系统与市局实现全面联网，对现有软件进行全面升级，打破原有小型局域网办公，实现全市联网，使参保单位的参保信息、缴费情况及待遇发放情况公开化，增强透明度，便于广大参保单位、职工个人及上级部门的监督和管理。同时还将进行各险种财务软件的升级、扩充安装等，以适应市级或县级统筹的需要。</w:t>
      </w:r>
    </w:p>
    <w:p>
      <w:pPr>
        <w:spacing w:line="520" w:lineRule="auto"/>
        <w:ind w:firstLine="640"/>
        <w:jc w:val="left"/>
        <w:rPr>
          <w:rFonts w:ascii="楷体" w:hAnsi="楷体" w:eastAsia="楷体" w:cs="楷体"/>
          <w:sz w:val="32"/>
        </w:rPr>
      </w:pPr>
      <w:r>
        <w:rPr>
          <w:rFonts w:hint="eastAsia" w:ascii="楷体" w:hAnsi="楷体" w:eastAsia="楷体" w:cs="楷体"/>
          <w:sz w:val="32"/>
        </w:rPr>
        <w:t>（八）政府采购决算情况</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无政府采购项目。</w:t>
      </w:r>
    </w:p>
    <w:p>
      <w:pPr>
        <w:spacing w:line="520" w:lineRule="auto"/>
        <w:ind w:firstLine="640"/>
        <w:jc w:val="left"/>
        <w:rPr>
          <w:rFonts w:ascii="楷体" w:hAnsi="楷体" w:eastAsia="楷体" w:cs="楷体"/>
          <w:sz w:val="32"/>
        </w:rPr>
      </w:pPr>
      <w:r>
        <w:rPr>
          <w:rFonts w:hint="eastAsia" w:ascii="楷体" w:hAnsi="楷体" w:eastAsia="楷体" w:cs="楷体"/>
          <w:sz w:val="32"/>
        </w:rPr>
        <w:t>（九）国有资产信息</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香河</w:t>
      </w:r>
      <w:r>
        <w:rPr>
          <w:rFonts w:hint="eastAsia" w:ascii="仿宋_GB2312" w:hAnsi="宋体" w:eastAsia="仿宋_GB2312" w:cs="仿宋_GB2312"/>
          <w:color w:val="484747"/>
          <w:sz w:val="32"/>
          <w:szCs w:val="32"/>
          <w:lang w:eastAsia="zh-CN"/>
        </w:rPr>
        <w:t>县社会保险事业管理所</w:t>
      </w:r>
      <w:r>
        <w:rPr>
          <w:rFonts w:hint="eastAsia" w:ascii="仿宋_GB2312" w:hAnsi="宋体" w:eastAsia="仿宋_GB2312" w:cs="仿宋_GB2312"/>
          <w:color w:val="484747"/>
          <w:sz w:val="32"/>
          <w:szCs w:val="32"/>
        </w:rPr>
        <w:t>年末固定资产金额为</w:t>
      </w:r>
      <w:r>
        <w:rPr>
          <w:rFonts w:hint="eastAsia" w:ascii="仿宋_GB2312" w:hAnsi="宋体" w:eastAsia="仿宋_GB2312" w:cs="仿宋_GB2312"/>
          <w:color w:val="484747"/>
          <w:sz w:val="32"/>
          <w:szCs w:val="32"/>
          <w:lang w:val="en-US" w:eastAsia="zh-CN"/>
        </w:rPr>
        <w:t>429.47</w:t>
      </w:r>
      <w:r>
        <w:rPr>
          <w:rFonts w:hint="eastAsia" w:ascii="仿宋_GB2312" w:hAnsi="宋体" w:eastAsia="仿宋_GB2312" w:cs="仿宋_GB2312"/>
          <w:color w:val="484747"/>
          <w:sz w:val="32"/>
          <w:szCs w:val="32"/>
        </w:rPr>
        <w:t>万元。详见下表。</w:t>
      </w:r>
    </w:p>
    <w:tbl>
      <w:tblPr>
        <w:tblStyle w:val="7"/>
        <w:tblW w:w="8693" w:type="dxa"/>
        <w:tblInd w:w="93" w:type="dxa"/>
        <w:tblLayout w:type="fixed"/>
        <w:tblCellMar>
          <w:top w:w="0" w:type="dxa"/>
          <w:left w:w="108" w:type="dxa"/>
          <w:bottom w:w="0" w:type="dxa"/>
          <w:right w:w="108" w:type="dxa"/>
        </w:tblCellMar>
      </w:tblPr>
      <w:tblGrid>
        <w:gridCol w:w="3368"/>
        <w:gridCol w:w="2034"/>
        <w:gridCol w:w="3291"/>
      </w:tblGrid>
      <w:tr>
        <w:tblPrEx>
          <w:tblLayout w:type="fixed"/>
          <w:tblCellMar>
            <w:top w:w="0" w:type="dxa"/>
            <w:left w:w="108" w:type="dxa"/>
            <w:bottom w:w="0" w:type="dxa"/>
            <w:right w:w="108" w:type="dxa"/>
          </w:tblCellMar>
        </w:tblPrEx>
        <w:trPr>
          <w:trHeight w:val="94" w:hRule="atLeast"/>
        </w:trPr>
        <w:tc>
          <w:tcPr>
            <w:tcW w:w="8693" w:type="dxa"/>
            <w:gridSpan w:val="3"/>
            <w:tcBorders>
              <w:top w:val="nil"/>
              <w:left w:val="nil"/>
              <w:bottom w:val="nil"/>
              <w:right w:val="nil"/>
            </w:tcBorders>
            <w:vAlign w:val="center"/>
          </w:tcPr>
          <w:p>
            <w:pPr>
              <w:widowControl/>
              <w:rPr>
                <w:rFonts w:ascii="宋体" w:cs="宋体"/>
                <w:b/>
                <w:bCs/>
                <w:sz w:val="32"/>
                <w:szCs w:val="32"/>
              </w:rPr>
            </w:pPr>
          </w:p>
          <w:p>
            <w:pPr>
              <w:widowControl/>
              <w:jc w:val="center"/>
              <w:rPr>
                <w:rFonts w:ascii="宋体" w:cs="宋体"/>
                <w:b/>
                <w:bCs/>
                <w:sz w:val="32"/>
                <w:szCs w:val="32"/>
              </w:rPr>
            </w:pPr>
            <w:r>
              <w:rPr>
                <w:rFonts w:hint="eastAsia" w:ascii="宋体" w:hAnsi="宋体" w:cs="宋体"/>
                <w:b/>
                <w:bCs/>
                <w:sz w:val="32"/>
                <w:szCs w:val="32"/>
              </w:rPr>
              <w:t>香河县</w:t>
            </w:r>
            <w:r>
              <w:rPr>
                <w:rFonts w:hint="eastAsia" w:ascii="宋体" w:hAnsi="宋体" w:cs="宋体"/>
                <w:b/>
                <w:bCs/>
                <w:sz w:val="32"/>
                <w:szCs w:val="32"/>
                <w:lang w:eastAsia="zh-CN"/>
              </w:rPr>
              <w:t>社会保险事业管理所</w:t>
            </w:r>
            <w:r>
              <w:rPr>
                <w:rFonts w:hint="eastAsia" w:ascii="宋体" w:hAnsi="宋体" w:cs="宋体"/>
                <w:b/>
                <w:bCs/>
                <w:sz w:val="32"/>
                <w:szCs w:val="32"/>
              </w:rPr>
              <w:t>固定资产占用情况表</w:t>
            </w:r>
          </w:p>
        </w:tc>
      </w:tr>
      <w:tr>
        <w:tblPrEx>
          <w:tblLayout w:type="fixed"/>
          <w:tblCellMar>
            <w:top w:w="0" w:type="dxa"/>
            <w:left w:w="108" w:type="dxa"/>
            <w:bottom w:w="0" w:type="dxa"/>
            <w:right w:w="108" w:type="dxa"/>
          </w:tblCellMar>
        </w:tblPrEx>
        <w:trPr>
          <w:trHeight w:val="534" w:hRule="atLeast"/>
        </w:trPr>
        <w:tc>
          <w:tcPr>
            <w:tcW w:w="5402" w:type="dxa"/>
            <w:gridSpan w:val="2"/>
            <w:tcBorders>
              <w:top w:val="nil"/>
              <w:left w:val="nil"/>
              <w:bottom w:val="nil"/>
              <w:right w:val="nil"/>
            </w:tcBorders>
            <w:vAlign w:val="center"/>
          </w:tcPr>
          <w:p>
            <w:pPr>
              <w:widowControl/>
              <w:jc w:val="left"/>
              <w:rPr>
                <w:rFonts w:ascii="宋体" w:cs="宋体"/>
                <w:sz w:val="22"/>
              </w:rPr>
            </w:pPr>
            <w:r>
              <w:rPr>
                <w:rFonts w:hint="eastAsia" w:ascii="宋体" w:hAnsi="宋体" w:cs="宋体"/>
                <w:sz w:val="22"/>
              </w:rPr>
              <w:t>编制部门：</w:t>
            </w:r>
            <w:r>
              <w:rPr>
                <w:rFonts w:hint="eastAsia" w:ascii="宋体" w:hAnsi="宋体" w:cs="宋体"/>
                <w:sz w:val="22"/>
                <w:lang w:eastAsia="zh-CN"/>
              </w:rPr>
              <w:t>香河县社会保险事业管理所</w:t>
            </w:r>
          </w:p>
        </w:tc>
        <w:tc>
          <w:tcPr>
            <w:tcW w:w="3291" w:type="dxa"/>
            <w:tcBorders>
              <w:top w:val="nil"/>
              <w:left w:val="nil"/>
              <w:bottom w:val="nil"/>
              <w:right w:val="nil"/>
            </w:tcBorders>
            <w:vAlign w:val="center"/>
          </w:tcPr>
          <w:p>
            <w:pPr>
              <w:widowControl/>
              <w:jc w:val="left"/>
              <w:rPr>
                <w:rFonts w:ascii="宋体" w:cs="宋体"/>
                <w:sz w:val="22"/>
              </w:rPr>
            </w:pPr>
            <w:r>
              <w:rPr>
                <w:rFonts w:hint="eastAsia" w:ascii="宋体" w:hAnsi="宋体" w:cs="宋体"/>
                <w:sz w:val="22"/>
              </w:rPr>
              <w:t>截止时间：</w:t>
            </w:r>
            <w:r>
              <w:rPr>
                <w:rFonts w:ascii="宋体" w:hAnsi="宋体" w:cs="宋体"/>
                <w:sz w:val="22"/>
              </w:rPr>
              <w:t>2016</w:t>
            </w:r>
            <w:r>
              <w:rPr>
                <w:rFonts w:hint="eastAsia" w:ascii="宋体" w:hAnsi="宋体" w:cs="宋体"/>
                <w:sz w:val="22"/>
              </w:rPr>
              <w:t>年</w:t>
            </w:r>
            <w:r>
              <w:rPr>
                <w:rFonts w:ascii="宋体" w:hAnsi="宋体" w:cs="宋体"/>
                <w:sz w:val="22"/>
              </w:rPr>
              <w:t>12</w:t>
            </w:r>
            <w:r>
              <w:rPr>
                <w:rFonts w:hint="eastAsia" w:ascii="宋体" w:hAnsi="宋体" w:cs="宋体"/>
                <w:sz w:val="22"/>
              </w:rPr>
              <w:t>月</w:t>
            </w:r>
            <w:r>
              <w:rPr>
                <w:rFonts w:ascii="宋体" w:hAnsi="宋体" w:cs="宋体"/>
                <w:sz w:val="22"/>
              </w:rPr>
              <w:t>31</w:t>
            </w:r>
            <w:r>
              <w:rPr>
                <w:rFonts w:hint="eastAsia" w:ascii="宋体" w:hAnsi="宋体" w:cs="宋体"/>
                <w:sz w:val="22"/>
              </w:rPr>
              <w:t>日</w:t>
            </w:r>
            <w:r>
              <w:rPr>
                <w:rFonts w:ascii="宋体" w:hAnsi="宋体" w:cs="宋体"/>
                <w:sz w:val="22"/>
              </w:rPr>
              <w:t xml:space="preserve">  </w:t>
            </w:r>
          </w:p>
        </w:tc>
      </w:tr>
      <w:tr>
        <w:tblPrEx>
          <w:tblLayout w:type="fixed"/>
          <w:tblCellMar>
            <w:top w:w="0" w:type="dxa"/>
            <w:left w:w="108" w:type="dxa"/>
            <w:bottom w:w="0" w:type="dxa"/>
            <w:right w:w="108" w:type="dxa"/>
          </w:tblCellMar>
        </w:tblPrEx>
        <w:trPr>
          <w:trHeight w:val="675" w:hRule="atLeast"/>
        </w:trPr>
        <w:tc>
          <w:tcPr>
            <w:tcW w:w="336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b/>
                <w:bCs/>
                <w:sz w:val="22"/>
              </w:rPr>
            </w:pPr>
            <w:r>
              <w:rPr>
                <w:rFonts w:hint="eastAsia" w:ascii="宋体" w:hAnsi="宋体" w:cs="宋体"/>
                <w:b/>
                <w:bCs/>
                <w:sz w:val="22"/>
              </w:rPr>
              <w:t>项</w:t>
            </w:r>
            <w:r>
              <w:rPr>
                <w:rFonts w:ascii="宋体" w:hAnsi="宋体" w:cs="宋体"/>
                <w:b/>
                <w:bCs/>
                <w:sz w:val="22"/>
              </w:rPr>
              <w:t xml:space="preserve">   </w:t>
            </w:r>
            <w:r>
              <w:rPr>
                <w:rFonts w:hint="eastAsia" w:ascii="宋体" w:hAnsi="宋体" w:cs="宋体"/>
                <w:b/>
                <w:bCs/>
                <w:sz w:val="22"/>
              </w:rPr>
              <w:t>目</w:t>
            </w:r>
          </w:p>
        </w:tc>
        <w:tc>
          <w:tcPr>
            <w:tcW w:w="2034" w:type="dxa"/>
            <w:tcBorders>
              <w:top w:val="single" w:color="auto" w:sz="4" w:space="0"/>
              <w:left w:val="nil"/>
              <w:bottom w:val="single" w:color="auto" w:sz="4" w:space="0"/>
              <w:right w:val="single" w:color="auto" w:sz="4" w:space="0"/>
            </w:tcBorders>
            <w:vAlign w:val="center"/>
          </w:tcPr>
          <w:p>
            <w:pPr>
              <w:widowControl/>
              <w:jc w:val="center"/>
              <w:rPr>
                <w:rFonts w:ascii="宋体" w:cs="宋体"/>
                <w:b/>
                <w:bCs/>
                <w:sz w:val="22"/>
              </w:rPr>
            </w:pPr>
            <w:r>
              <w:rPr>
                <w:rFonts w:hint="eastAsia" w:ascii="宋体" w:hAnsi="宋体" w:cs="宋体"/>
                <w:b/>
                <w:bCs/>
                <w:sz w:val="22"/>
              </w:rPr>
              <w:t>数量</w:t>
            </w:r>
          </w:p>
        </w:tc>
        <w:tc>
          <w:tcPr>
            <w:tcW w:w="3291" w:type="dxa"/>
            <w:tcBorders>
              <w:top w:val="single" w:color="auto" w:sz="4" w:space="0"/>
              <w:left w:val="nil"/>
              <w:bottom w:val="single" w:color="auto" w:sz="4" w:space="0"/>
              <w:right w:val="single" w:color="auto" w:sz="4" w:space="0"/>
            </w:tcBorders>
            <w:vAlign w:val="center"/>
          </w:tcPr>
          <w:p>
            <w:pPr>
              <w:widowControl/>
              <w:jc w:val="center"/>
              <w:rPr>
                <w:rFonts w:ascii="宋体" w:cs="宋体"/>
                <w:b/>
                <w:bCs/>
                <w:sz w:val="22"/>
              </w:rPr>
            </w:pPr>
            <w:r>
              <w:rPr>
                <w:rFonts w:hint="eastAsia" w:ascii="宋体" w:hAnsi="宋体" w:cs="宋体"/>
                <w:b/>
                <w:bCs/>
                <w:sz w:val="22"/>
              </w:rPr>
              <w:t>价值（金额单位：万元）</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center"/>
              <w:rPr>
                <w:rFonts w:ascii="宋体" w:cs="宋体"/>
                <w:sz w:val="22"/>
              </w:rPr>
            </w:pPr>
            <w:r>
              <w:rPr>
                <w:rFonts w:hint="eastAsia" w:ascii="宋体" w:hAnsi="宋体" w:cs="宋体"/>
                <w:sz w:val="22"/>
              </w:rPr>
              <w:t>资产总额</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r>
              <w:rPr>
                <w:rFonts w:ascii="宋体" w:hAnsi="宋体" w:cs="宋体"/>
                <w:sz w:val="22"/>
              </w:rPr>
              <w:t>——</w:t>
            </w:r>
          </w:p>
        </w:tc>
        <w:tc>
          <w:tcPr>
            <w:tcW w:w="3291"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429.47</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1</w:t>
            </w:r>
            <w:r>
              <w:rPr>
                <w:rFonts w:hint="eastAsia" w:ascii="宋体" w:hAnsi="宋体" w:cs="宋体"/>
                <w:sz w:val="22"/>
              </w:rPr>
              <w:t>、房屋（平方米）</w:t>
            </w:r>
          </w:p>
        </w:tc>
        <w:tc>
          <w:tcPr>
            <w:tcW w:w="2034"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2792</w:t>
            </w:r>
          </w:p>
        </w:tc>
        <w:tc>
          <w:tcPr>
            <w:tcW w:w="3291"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280.94</w:t>
            </w:r>
          </w:p>
        </w:tc>
      </w:tr>
      <w:tr>
        <w:tblPrEx>
          <w:tblLayout w:type="fixed"/>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 xml:space="preserve">   </w:t>
            </w:r>
            <w:r>
              <w:rPr>
                <w:rFonts w:hint="eastAsia" w:ascii="宋体" w:hAnsi="宋体" w:cs="宋体"/>
                <w:sz w:val="22"/>
              </w:rPr>
              <w:t>其中：办公用房（平方米）</w:t>
            </w:r>
          </w:p>
        </w:tc>
        <w:tc>
          <w:tcPr>
            <w:tcW w:w="2034"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2792</w:t>
            </w:r>
          </w:p>
        </w:tc>
        <w:tc>
          <w:tcPr>
            <w:tcW w:w="3291"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280.94</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2</w:t>
            </w:r>
            <w:r>
              <w:rPr>
                <w:rFonts w:hint="eastAsia" w:ascii="宋体" w:hAnsi="宋体" w:cs="宋体"/>
                <w:sz w:val="22"/>
              </w:rPr>
              <w:t>、车辆（台、辆）</w:t>
            </w:r>
          </w:p>
        </w:tc>
        <w:tc>
          <w:tcPr>
            <w:tcW w:w="2034"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1</w:t>
            </w:r>
          </w:p>
        </w:tc>
        <w:tc>
          <w:tcPr>
            <w:tcW w:w="3291"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6.9</w:t>
            </w: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3</w:t>
            </w:r>
            <w:r>
              <w:rPr>
                <w:rFonts w:hint="eastAsia" w:ascii="宋体" w:hAnsi="宋体" w:cs="宋体"/>
                <w:sz w:val="22"/>
              </w:rPr>
              <w:t>、单价在</w:t>
            </w:r>
            <w:r>
              <w:rPr>
                <w:rFonts w:ascii="宋体" w:hAnsi="宋体" w:cs="宋体"/>
                <w:sz w:val="22"/>
              </w:rPr>
              <w:t>20</w:t>
            </w:r>
            <w:r>
              <w:rPr>
                <w:rFonts w:hint="eastAsia" w:ascii="宋体" w:hAnsi="宋体" w:cs="宋体"/>
                <w:sz w:val="22"/>
              </w:rPr>
              <w:t>万元以上的设备</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p>
        </w:tc>
        <w:tc>
          <w:tcPr>
            <w:tcW w:w="3291" w:type="dxa"/>
            <w:tcBorders>
              <w:top w:val="nil"/>
              <w:left w:val="nil"/>
              <w:bottom w:val="single" w:color="auto" w:sz="4" w:space="0"/>
              <w:right w:val="single" w:color="auto" w:sz="4" w:space="0"/>
            </w:tcBorders>
            <w:vAlign w:val="center"/>
          </w:tcPr>
          <w:p>
            <w:pPr>
              <w:widowControl/>
              <w:jc w:val="center"/>
              <w:rPr>
                <w:rFonts w:ascii="宋体" w:cs="宋体"/>
                <w:sz w:val="22"/>
              </w:rPr>
            </w:pPr>
          </w:p>
        </w:tc>
      </w:tr>
      <w:tr>
        <w:tblPrEx>
          <w:tblLayout w:type="fixed"/>
          <w:tblCellMar>
            <w:top w:w="0" w:type="dxa"/>
            <w:left w:w="108" w:type="dxa"/>
            <w:bottom w:w="0" w:type="dxa"/>
            <w:right w:w="108" w:type="dxa"/>
          </w:tblCellMar>
        </w:tblPrEx>
        <w:trPr>
          <w:trHeight w:val="675" w:hRule="atLeast"/>
        </w:trPr>
        <w:tc>
          <w:tcPr>
            <w:tcW w:w="3368" w:type="dxa"/>
            <w:tcBorders>
              <w:top w:val="nil"/>
              <w:left w:val="single" w:color="auto" w:sz="4" w:space="0"/>
              <w:bottom w:val="single" w:color="auto" w:sz="4" w:space="0"/>
              <w:right w:val="single" w:color="auto" w:sz="4" w:space="0"/>
            </w:tcBorders>
            <w:vAlign w:val="center"/>
          </w:tcPr>
          <w:p>
            <w:pPr>
              <w:widowControl/>
              <w:jc w:val="left"/>
              <w:rPr>
                <w:rFonts w:ascii="宋体" w:cs="宋体"/>
                <w:sz w:val="22"/>
              </w:rPr>
            </w:pPr>
            <w:r>
              <w:rPr>
                <w:rFonts w:ascii="宋体" w:hAnsi="宋体" w:cs="宋体"/>
                <w:sz w:val="22"/>
              </w:rPr>
              <w:t>4</w:t>
            </w:r>
            <w:r>
              <w:rPr>
                <w:rFonts w:hint="eastAsia" w:ascii="宋体" w:hAnsi="宋体" w:cs="宋体"/>
                <w:sz w:val="22"/>
              </w:rPr>
              <w:t>、其他固定资产</w:t>
            </w:r>
          </w:p>
        </w:tc>
        <w:tc>
          <w:tcPr>
            <w:tcW w:w="2034" w:type="dxa"/>
            <w:tcBorders>
              <w:top w:val="nil"/>
              <w:left w:val="nil"/>
              <w:bottom w:val="single" w:color="auto" w:sz="4" w:space="0"/>
              <w:right w:val="single" w:color="auto" w:sz="4" w:space="0"/>
            </w:tcBorders>
            <w:vAlign w:val="center"/>
          </w:tcPr>
          <w:p>
            <w:pPr>
              <w:widowControl/>
              <w:jc w:val="center"/>
              <w:rPr>
                <w:rFonts w:ascii="宋体" w:cs="宋体"/>
                <w:sz w:val="22"/>
              </w:rPr>
            </w:pPr>
          </w:p>
        </w:tc>
        <w:tc>
          <w:tcPr>
            <w:tcW w:w="3291" w:type="dxa"/>
            <w:tcBorders>
              <w:top w:val="nil"/>
              <w:left w:val="nil"/>
              <w:bottom w:val="single" w:color="auto" w:sz="4" w:space="0"/>
              <w:right w:val="single" w:color="auto" w:sz="4" w:space="0"/>
            </w:tcBorders>
            <w:vAlign w:val="center"/>
          </w:tcPr>
          <w:p>
            <w:pPr>
              <w:widowControl/>
              <w:jc w:val="center"/>
              <w:rPr>
                <w:rFonts w:hint="eastAsia" w:ascii="宋体" w:eastAsia="宋体" w:cs="宋体"/>
                <w:sz w:val="22"/>
                <w:lang w:val="en-US" w:eastAsia="zh-CN"/>
              </w:rPr>
            </w:pPr>
            <w:r>
              <w:rPr>
                <w:rFonts w:hint="eastAsia" w:ascii="宋体" w:cs="宋体"/>
                <w:sz w:val="22"/>
                <w:lang w:val="en-US" w:eastAsia="zh-CN"/>
              </w:rPr>
              <w:t>141.63</w:t>
            </w:r>
          </w:p>
        </w:tc>
      </w:tr>
    </w:tbl>
    <w:p>
      <w:pPr>
        <w:numPr>
          <w:ilvl w:val="0"/>
          <w:numId w:val="3"/>
        </w:numPr>
        <w:spacing w:line="520" w:lineRule="auto"/>
        <w:ind w:firstLine="640"/>
        <w:jc w:val="left"/>
        <w:rPr>
          <w:rFonts w:hint="eastAsia" w:ascii="楷体" w:hAnsi="楷体" w:eastAsia="楷体" w:cs="楷体"/>
          <w:sz w:val="32"/>
        </w:rPr>
      </w:pPr>
      <w:r>
        <w:rPr>
          <w:rFonts w:hint="eastAsia" w:ascii="楷体" w:hAnsi="楷体" w:eastAsia="楷体" w:cs="楷体"/>
          <w:sz w:val="32"/>
        </w:rPr>
        <w:t>无其他需要说明的情况</w:t>
      </w:r>
    </w:p>
    <w:p>
      <w:pPr>
        <w:numPr>
          <w:numId w:val="0"/>
        </w:numPr>
        <w:spacing w:line="520" w:lineRule="auto"/>
        <w:jc w:val="left"/>
        <w:rPr>
          <w:rFonts w:hint="eastAsia" w:ascii="楷体" w:hAnsi="楷体" w:eastAsia="楷体" w:cs="楷体"/>
          <w:sz w:val="32"/>
        </w:rPr>
      </w:pPr>
      <w:bookmarkStart w:id="0" w:name="_GoBack"/>
      <w:bookmarkEnd w:id="0"/>
    </w:p>
    <w:p>
      <w:pPr>
        <w:spacing w:line="520" w:lineRule="auto"/>
        <w:ind w:firstLine="800"/>
        <w:jc w:val="left"/>
        <w:rPr>
          <w:rFonts w:ascii="黑体" w:hAnsi="黑体" w:eastAsia="黑体" w:cs="黑体"/>
          <w:sz w:val="32"/>
        </w:rPr>
      </w:pPr>
      <w:r>
        <w:rPr>
          <w:rFonts w:hint="eastAsia" w:ascii="黑体" w:hAnsi="黑体" w:eastAsia="黑体" w:cs="黑体"/>
          <w:sz w:val="32"/>
        </w:rPr>
        <w:t>四、名词解释</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（一）财政拨款收入：本年度从本级财政部门取得的财政拨款，包括一般公共预算财政拨款和政府性基金预算财政拨款。</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（二）年初结转和结余：指以前年度尚未完成、结转到本年仍按原规定用途继续使用的资金，或项目已完成等产生的结余资金。</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（三）基本支出：填列单位为保障机构正常运转、完成日常工作任务而发生的各项支出。</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四）“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（五）公务用车购置：填列单位公务用车车辆购置支出（含车辆购置税）。</w:t>
      </w:r>
    </w:p>
    <w:p>
      <w:pPr>
        <w:widowControl/>
        <w:adjustRightInd w:val="0"/>
        <w:spacing w:line="560" w:lineRule="exact"/>
        <w:ind w:firstLine="640" w:firstLineChars="200"/>
        <w:jc w:val="left"/>
        <w:rPr>
          <w:rFonts w:ascii="仿宋_GB2312" w:hAnsi="宋体" w:eastAsia="仿宋_GB2312" w:cs="仿宋_GB2312"/>
          <w:color w:val="484747"/>
          <w:sz w:val="32"/>
          <w:szCs w:val="32"/>
        </w:rPr>
      </w:pPr>
      <w:r>
        <w:rPr>
          <w:rFonts w:hint="eastAsia" w:ascii="仿宋_GB2312" w:hAnsi="宋体" w:eastAsia="仿宋_GB2312" w:cs="仿宋_GB2312"/>
          <w:color w:val="484747"/>
          <w:sz w:val="32"/>
          <w:szCs w:val="32"/>
        </w:rPr>
        <w:t>（六）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spacing w:line="520" w:lineRule="auto"/>
        <w:jc w:val="left"/>
        <w:rPr>
          <w:rFonts w:ascii="仿宋_GB2312" w:hAnsi="仿宋_GB2312" w:eastAsia="仿宋_GB2312" w:cs="仿宋_GB2312"/>
          <w:sz w:val="28"/>
        </w:rPr>
      </w:pPr>
    </w:p>
    <w:p>
      <w:pPr>
        <w:spacing w:line="520" w:lineRule="auto"/>
        <w:jc w:val="left"/>
        <w:rPr>
          <w:rFonts w:ascii="仿宋_GB2312" w:hAnsi="仿宋_GB2312" w:eastAsia="仿宋_GB2312" w:cs="仿宋_GB2312"/>
          <w:sz w:val="28"/>
        </w:rPr>
      </w:pPr>
    </w:p>
    <w:p>
      <w:pPr>
        <w:spacing w:line="520" w:lineRule="auto"/>
        <w:jc w:val="left"/>
        <w:rPr>
          <w:rFonts w:ascii="宋体" w:hAnsi="宋体" w:cs="宋体"/>
          <w:sz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楷体">
    <w:altName w:val="楷体_GB2312"/>
    <w:panose1 w:val="02010609060101010101"/>
    <w:charset w:val="86"/>
    <w:family w:val="modern"/>
    <w:pitch w:val="default"/>
    <w:sig w:usb0="00000000" w:usb1="00000000"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新宋体">
    <w:panose1 w:val="02010609030101010101"/>
    <w:charset w:val="86"/>
    <w:family w:val="auto"/>
    <w:pitch w:val="default"/>
    <w:sig w:usb0="00000003" w:usb1="080E0000" w:usb2="00000000" w:usb3="00000000" w:csb0="00040001" w:csb1="00000000"/>
  </w:font>
  <w:font w:name="方正兰亭黑简体">
    <w:altName w:val="黑体"/>
    <w:panose1 w:val="02000000000000000000"/>
    <w:charset w:val="86"/>
    <w:family w:val="auto"/>
    <w:pitch w:val="default"/>
    <w:sig w:usb0="00000000" w:usb1="00000000" w:usb2="00000000" w:usb3="00000000" w:csb0="00040000" w:csb1="00000000"/>
  </w:font>
  <w:font w:name="汉仪旗黑-55">
    <w:panose1 w:val="00020600040101010101"/>
    <w:charset w:val="86"/>
    <w:family w:val="auto"/>
    <w:pitch w:val="default"/>
    <w:sig w:usb0="A00002BF" w:usb1="18EF7CFA" w:usb2="00000016" w:usb3="00000000" w:csb0="00040000" w:csb1="00000000"/>
  </w:font>
  <w:font w:name="汉仪旗黑-55S">
    <w:altName w:val="黑体"/>
    <w:panose1 w:val="00020600040101010101"/>
    <w:charset w:val="86"/>
    <w:family w:val="auto"/>
    <w:pitch w:val="default"/>
    <w:sig w:usb0="00000000" w:usb1="00000000" w:usb2="00000016" w:usb3="00000000" w:csb0="00040000" w:csb1="00000000"/>
  </w:font>
  <w:font w:name="PMingLiU">
    <w:panose1 w:val="02020300000000000000"/>
    <w:charset w:val="88"/>
    <w:family w:val="auto"/>
    <w:pitch w:val="default"/>
    <w:sig w:usb0="00000003" w:usb1="082E0000" w:usb2="00000016" w:usb3="00000000" w:csb0="00100001" w:csb1="00000000"/>
  </w:font>
  <w:font w:name="Arial Black">
    <w:panose1 w:val="020B0A04020102020204"/>
    <w:charset w:val="00"/>
    <w:family w:val="auto"/>
    <w:pitch w:val="default"/>
    <w:sig w:usb0="00000287" w:usb1="00000000" w:usb2="00000000" w:usb3="00000000" w:csb0="2000009F" w:csb1="DFD70000"/>
  </w:font>
  <w:font w:name="Arial Narrow">
    <w:panose1 w:val="020B0606020202030204"/>
    <w:charset w:val="00"/>
    <w:family w:val="auto"/>
    <w:pitch w:val="default"/>
    <w:sig w:usb0="00000287" w:usb1="00000800" w:usb2="00000000" w:usb3="00000000" w:csb0="2000009F" w:csb1="DFD70000"/>
  </w:font>
  <w:font w:name="Book Antiqua">
    <w:panose1 w:val="02040602050305030304"/>
    <w:charset w:val="00"/>
    <w:family w:val="auto"/>
    <w:pitch w:val="default"/>
    <w:sig w:usb0="00000287" w:usb1="00000000" w:usb2="00000000" w:usb3="00000000" w:csb0="2000009F" w:csb1="DFD70000"/>
  </w:font>
  <w:font w:name="Bookman Old Style">
    <w:altName w:val="Shruti"/>
    <w:panose1 w:val="02050604050505020204"/>
    <w:charset w:val="00"/>
    <w:family w:val="auto"/>
    <w:pitch w:val="default"/>
    <w:sig w:usb0="00000000" w:usb1="00000000" w:usb2="00000000" w:usb3="00000000" w:csb0="2000009F" w:csb1="DFD70000"/>
  </w:font>
  <w:font w:name="仿宋">
    <w:altName w:val="宋体"/>
    <w:panose1 w:val="00000000000000000000"/>
    <w:charset w:val="00"/>
    <w:family w:val="auto"/>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40001" w:csb1="00000000"/>
  </w:font>
  <w:font w:name="方正黑体_GBK">
    <w:altName w:val="宋体"/>
    <w:panose1 w:val="00000000000000000000"/>
    <w:charset w:val="86"/>
    <w:family w:val="roman"/>
    <w:pitch w:val="default"/>
    <w:sig w:usb0="00000000" w:usb1="00000000" w:usb2="00000000" w:usb3="00000000" w:csb0="00040001" w:csb1="00000000"/>
  </w:font>
  <w:font w:name="方正仿宋_GBK">
    <w:altName w:val="宋体"/>
    <w:panose1 w:val="00000000000000000000"/>
    <w:charset w:val="86"/>
    <w:family w:val="roman"/>
    <w:pitch w:val="default"/>
    <w:sig w:usb0="00000000" w:usb1="00000000" w:usb2="00000000" w:usb3="00000000" w:csb0="00040001" w:csb1="00000000"/>
  </w:font>
  <w:font w:name="Shruti">
    <w:panose1 w:val="02000500000000000000"/>
    <w:charset w:val="00"/>
    <w:family w:val="auto"/>
    <w:pitch w:val="default"/>
    <w:sig w:usb0="0004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58813"/>
    <w:multiLevelType w:val="singleLevel"/>
    <w:tmpl w:val="59F58813"/>
    <w:lvl w:ilvl="0" w:tentative="0">
      <w:start w:val="1"/>
      <w:numFmt w:val="chineseCounting"/>
      <w:suff w:val="nothing"/>
      <w:lvlText w:val="（%1）"/>
      <w:lvlJc w:val="left"/>
    </w:lvl>
  </w:abstractNum>
  <w:abstractNum w:abstractNumId="1">
    <w:nsid w:val="59F5EEB7"/>
    <w:multiLevelType w:val="singleLevel"/>
    <w:tmpl w:val="59F5EEB7"/>
    <w:lvl w:ilvl="0" w:tentative="0">
      <w:start w:val="2"/>
      <w:numFmt w:val="chineseCounting"/>
      <w:suff w:val="nothing"/>
      <w:lvlText w:val="%1、"/>
      <w:lvlJc w:val="left"/>
    </w:lvl>
  </w:abstractNum>
  <w:abstractNum w:abstractNumId="2">
    <w:nsid w:val="59FC2DA5"/>
    <w:multiLevelType w:val="singleLevel"/>
    <w:tmpl w:val="59FC2DA5"/>
    <w:lvl w:ilvl="0" w:tentative="0">
      <w:start w:val="10"/>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56E"/>
    <w:rsid w:val="0000056E"/>
    <w:rsid w:val="001A49D6"/>
    <w:rsid w:val="00230130"/>
    <w:rsid w:val="004847E1"/>
    <w:rsid w:val="004F3199"/>
    <w:rsid w:val="00571583"/>
    <w:rsid w:val="00613F46"/>
    <w:rsid w:val="00666F61"/>
    <w:rsid w:val="00976CCA"/>
    <w:rsid w:val="00A76DBA"/>
    <w:rsid w:val="00C25CD0"/>
    <w:rsid w:val="00D709F0"/>
    <w:rsid w:val="00EA30C6"/>
    <w:rsid w:val="0547210B"/>
    <w:rsid w:val="06630176"/>
    <w:rsid w:val="07240476"/>
    <w:rsid w:val="091C425A"/>
    <w:rsid w:val="0961480D"/>
    <w:rsid w:val="11EC7B6C"/>
    <w:rsid w:val="1A9D3255"/>
    <w:rsid w:val="1D142462"/>
    <w:rsid w:val="1FA95183"/>
    <w:rsid w:val="21090259"/>
    <w:rsid w:val="27E46761"/>
    <w:rsid w:val="2C1034D8"/>
    <w:rsid w:val="2CDD73A9"/>
    <w:rsid w:val="318B237E"/>
    <w:rsid w:val="32AC3BEE"/>
    <w:rsid w:val="35332D7C"/>
    <w:rsid w:val="353B78A4"/>
    <w:rsid w:val="36037BAB"/>
    <w:rsid w:val="37CB293C"/>
    <w:rsid w:val="37EB1813"/>
    <w:rsid w:val="3D1F1079"/>
    <w:rsid w:val="3F037188"/>
    <w:rsid w:val="4056339E"/>
    <w:rsid w:val="41090C61"/>
    <w:rsid w:val="41514531"/>
    <w:rsid w:val="46266490"/>
    <w:rsid w:val="47F83DC2"/>
    <w:rsid w:val="4E885456"/>
    <w:rsid w:val="5351107C"/>
    <w:rsid w:val="547500AA"/>
    <w:rsid w:val="54F30E26"/>
    <w:rsid w:val="5AF806F8"/>
    <w:rsid w:val="5D95191A"/>
    <w:rsid w:val="5DD219FC"/>
    <w:rsid w:val="5E9361BB"/>
    <w:rsid w:val="5ED034D0"/>
    <w:rsid w:val="604E4F8E"/>
    <w:rsid w:val="648C1995"/>
    <w:rsid w:val="65EE146A"/>
    <w:rsid w:val="663D6F05"/>
    <w:rsid w:val="6691319C"/>
    <w:rsid w:val="6A8E6DC7"/>
    <w:rsid w:val="6BB34873"/>
    <w:rsid w:val="6EE97005"/>
    <w:rsid w:val="771F1C64"/>
    <w:rsid w:val="782A2641"/>
    <w:rsid w:val="7AE70E01"/>
    <w:rsid w:val="7DA85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1"/>
      <w:szCs w:val="22"/>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basedOn w:val="4"/>
    <w:qFormat/>
    <w:uiPriority w:val="0"/>
    <w:rPr>
      <w:color w:val="4E4D4D"/>
      <w:u w:val="none"/>
    </w:rPr>
  </w:style>
  <w:style w:type="character" w:styleId="6">
    <w:name w:val="Hyperlink"/>
    <w:basedOn w:val="4"/>
    <w:qFormat/>
    <w:uiPriority w:val="0"/>
    <w:rPr>
      <w:color w:val="4E4D4D"/>
      <w:u w:val="none"/>
    </w:rPr>
  </w:style>
  <w:style w:type="character" w:customStyle="1" w:styleId="8">
    <w:name w:val="页眉 Char"/>
    <w:basedOn w:val="4"/>
    <w:link w:val="3"/>
    <w:qFormat/>
    <w:uiPriority w:val="0"/>
    <w:rPr>
      <w:sz w:val="18"/>
      <w:szCs w:val="18"/>
    </w:rPr>
  </w:style>
  <w:style w:type="character" w:customStyle="1" w:styleId="9">
    <w:name w:val="页脚 Char"/>
    <w:basedOn w:val="4"/>
    <w:link w:val="2"/>
    <w:qFormat/>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482</Words>
  <Characters>2749</Characters>
  <Lines>22</Lines>
  <Paragraphs>6</Paragraphs>
  <ScaleCrop>false</ScaleCrop>
  <LinksUpToDate>false</LinksUpToDate>
  <CharactersWithSpaces>3225</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2017-11-01T02:49:00Z</dcterms:created>
  <dc:creator>hgjuy</dc:creator>
  <cp:lastModifiedBy>Administrator</cp:lastModifiedBy>
  <dcterms:modified xsi:type="dcterms:W3CDTF">2017-11-03T08:44:26Z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